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08E03" w14:textId="77777777" w:rsidR="004F7544" w:rsidRPr="007B718E" w:rsidRDefault="004F7544" w:rsidP="004F7544">
      <w:pPr>
        <w:spacing w:after="0" w:line="240" w:lineRule="auto"/>
        <w:jc w:val="center"/>
        <w:rPr>
          <w:rFonts w:ascii="Arial" w:hAnsi="Arial"/>
          <w:b/>
          <w:sz w:val="18"/>
          <w:u w:val="single"/>
        </w:rPr>
      </w:pPr>
    </w:p>
    <w:p w14:paraId="40A16C73" w14:textId="77777777" w:rsidR="001D3ADF" w:rsidRPr="001D3ADF" w:rsidRDefault="001D3ADF" w:rsidP="001D3ADF">
      <w:pPr>
        <w:spacing w:after="0" w:line="240" w:lineRule="auto"/>
        <w:jc w:val="center"/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</w:pPr>
      <w:r w:rsidRPr="001D3ADF"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  <w:t>DECLARACIÓN RESPONSABLE DE GARANTIZAR LA PROTECCIÓN FRENTE AL CAMBIO CLIMÁTICO DE LAS INFRAESTRUCTURAS1 CUYA VIDA ÚTIL SEA, COMO MÍNIMO, DE CINCO AÑOS</w:t>
      </w:r>
    </w:p>
    <w:p w14:paraId="0BCA42B6" w14:textId="1EDCC707" w:rsidR="001D3ADF" w:rsidRPr="001D3ADF" w:rsidRDefault="001D3ADF" w:rsidP="001D3ADF">
      <w:pPr>
        <w:spacing w:after="0" w:line="240" w:lineRule="auto"/>
        <w:jc w:val="center"/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</w:pPr>
    </w:p>
    <w:p w14:paraId="696DE5CE" w14:textId="77777777" w:rsidR="001D3ADF" w:rsidRPr="001D3ADF" w:rsidRDefault="001D3ADF" w:rsidP="001D3ADF">
      <w:pPr>
        <w:spacing w:after="0" w:line="240" w:lineRule="auto"/>
        <w:jc w:val="center"/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</w:pPr>
      <w:r w:rsidRPr="001D3ADF"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  <w:t>[ARTÍCULO 73.2.J) DEL REGLAMENTO (UE) 2021/1060 – CLIMATE PROOFING]</w:t>
      </w:r>
    </w:p>
    <w:p w14:paraId="3815F7B0" w14:textId="77777777" w:rsidR="001D3ADF" w:rsidRPr="001D3ADF" w:rsidRDefault="001D3ADF" w:rsidP="001D3ADF">
      <w:pPr>
        <w:spacing w:after="0" w:line="240" w:lineRule="auto"/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</w:pPr>
    </w:p>
    <w:p w14:paraId="16CC0C38" w14:textId="77777777" w:rsidR="001D3ADF" w:rsidRDefault="001D3ADF" w:rsidP="001D3ADF">
      <w:pPr>
        <w:spacing w:after="0" w:line="240" w:lineRule="auto"/>
        <w:jc w:val="center"/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</w:pPr>
      <w:r w:rsidRPr="001D3ADF"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  <w:t xml:space="preserve">Convocatoria pública de subvenciones a Proyectos de Inversión Empresarial </w:t>
      </w:r>
    </w:p>
    <w:p w14:paraId="3DCBEB56" w14:textId="75EECBF5" w:rsidR="001D3ADF" w:rsidRPr="001D3ADF" w:rsidRDefault="001D3ADF" w:rsidP="001D3ADF">
      <w:pPr>
        <w:spacing w:after="0" w:line="240" w:lineRule="auto"/>
        <w:jc w:val="center"/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</w:pPr>
      <w:r w:rsidRPr="001D3ADF"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  <w:t>en el ámbito del Principado de Asturias, ejercicio 202</w:t>
      </w:r>
      <w:r w:rsidR="00626645"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  <w:t>5</w:t>
      </w:r>
      <w:r w:rsidRPr="001D3ADF">
        <w:rPr>
          <w:rFonts w:asciiTheme="minorHAnsi" w:eastAsia="Arial" w:hAnsiTheme="minorHAnsi" w:cstheme="minorHAnsi"/>
          <w:b/>
          <w:kern w:val="2"/>
          <w:sz w:val="20"/>
          <w:szCs w:val="20"/>
          <w:lang w:eastAsia="es-ES"/>
          <w14:ligatures w14:val="standardContextual"/>
        </w:rPr>
        <w:t>.</w:t>
      </w:r>
    </w:p>
    <w:p w14:paraId="0641F900" w14:textId="6E57DE01" w:rsidR="00EE2783" w:rsidRPr="001D3ADF" w:rsidRDefault="00EE2783" w:rsidP="004F7544">
      <w:pPr>
        <w:spacing w:after="0" w:line="240" w:lineRule="auto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2BFA161F" w14:textId="77777777" w:rsidR="00EE2783" w:rsidRPr="004F7544" w:rsidRDefault="00EE2783" w:rsidP="007F3DD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s-ES"/>
        </w:rPr>
      </w:pPr>
    </w:p>
    <w:p w14:paraId="4A9B5874" w14:textId="77777777" w:rsidR="008C3772" w:rsidRPr="004F7544" w:rsidRDefault="008C3772" w:rsidP="007F3DDA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9D303C" w14:textId="29B6C170" w:rsidR="008C3772" w:rsidRPr="001D3ADF" w:rsidRDefault="008C3772" w:rsidP="007F3DD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1D3ADF">
        <w:rPr>
          <w:rFonts w:asciiTheme="minorHAnsi" w:hAnsiTheme="minorHAnsi" w:cstheme="minorHAnsi"/>
          <w:sz w:val="18"/>
          <w:szCs w:val="18"/>
        </w:rPr>
        <w:t>Don/Doña:   ……………………………………………………………</w:t>
      </w:r>
      <w:proofErr w:type="gramStart"/>
      <w:r w:rsidRPr="001D3ADF">
        <w:rPr>
          <w:rFonts w:asciiTheme="minorHAnsi" w:hAnsiTheme="minorHAnsi" w:cstheme="minorHAnsi"/>
          <w:sz w:val="18"/>
          <w:szCs w:val="18"/>
        </w:rPr>
        <w:t>…….…..</w:t>
      </w:r>
      <w:proofErr w:type="gramEnd"/>
      <w:r w:rsidRPr="001D3ADF">
        <w:rPr>
          <w:rFonts w:asciiTheme="minorHAnsi" w:hAnsiTheme="minorHAnsi" w:cstheme="minorHAnsi"/>
          <w:sz w:val="18"/>
          <w:szCs w:val="18"/>
        </w:rPr>
        <w:t xml:space="preserve">con </w:t>
      </w:r>
      <w:proofErr w:type="gramStart"/>
      <w:r w:rsidRPr="001D3ADF">
        <w:rPr>
          <w:rFonts w:asciiTheme="minorHAnsi" w:hAnsiTheme="minorHAnsi" w:cstheme="minorHAnsi"/>
          <w:sz w:val="18"/>
          <w:szCs w:val="18"/>
        </w:rPr>
        <w:t>D.N.I  ……….</w:t>
      </w:r>
      <w:proofErr w:type="gramEnd"/>
      <w:r w:rsidRPr="001D3ADF">
        <w:rPr>
          <w:rFonts w:asciiTheme="minorHAnsi" w:hAnsiTheme="minorHAnsi" w:cstheme="minorHAnsi"/>
          <w:sz w:val="18"/>
          <w:szCs w:val="18"/>
        </w:rPr>
        <w:t>…</w:t>
      </w:r>
      <w:proofErr w:type="gramStart"/>
      <w:r w:rsidRPr="001D3ADF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1D3ADF">
        <w:rPr>
          <w:rFonts w:asciiTheme="minorHAnsi" w:hAnsiTheme="minorHAnsi" w:cstheme="minorHAnsi"/>
          <w:sz w:val="18"/>
          <w:szCs w:val="18"/>
        </w:rPr>
        <w:t>………... en nombre y representación de la empresa   …………………………………………………</w:t>
      </w:r>
      <w:proofErr w:type="gramStart"/>
      <w:r w:rsidRPr="001D3ADF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1D3ADF">
        <w:rPr>
          <w:rFonts w:asciiTheme="minorHAnsi" w:hAnsiTheme="minorHAnsi" w:cstheme="minorHAnsi"/>
          <w:sz w:val="18"/>
          <w:szCs w:val="18"/>
        </w:rPr>
        <w:t>, con C.I.F.  …………………………….</w:t>
      </w:r>
    </w:p>
    <w:p w14:paraId="00F78A9A" w14:textId="77777777" w:rsidR="00EE2783" w:rsidRPr="001D3ADF" w:rsidRDefault="00EE2783" w:rsidP="007F3DD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es-ES"/>
        </w:rPr>
      </w:pPr>
    </w:p>
    <w:p w14:paraId="05F43AD7" w14:textId="77777777" w:rsidR="004F7544" w:rsidRPr="001D3ADF" w:rsidRDefault="00EE2783" w:rsidP="007F3DD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b/>
          <w:sz w:val="18"/>
          <w:szCs w:val="18"/>
          <w:lang w:eastAsia="es-ES"/>
        </w:rPr>
        <w:t>DECLARA</w:t>
      </w:r>
    </w:p>
    <w:p w14:paraId="68377FCC" w14:textId="77777777" w:rsidR="004F7544" w:rsidRPr="001D3ADF" w:rsidRDefault="004F7544" w:rsidP="00D5566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es-ES"/>
        </w:rPr>
      </w:pPr>
    </w:p>
    <w:p w14:paraId="67E13BC4" w14:textId="3A99CD52" w:rsidR="00D55663" w:rsidRPr="001D3ADF" w:rsidRDefault="00D55663" w:rsidP="00D55663">
      <w:pPr>
        <w:spacing w:after="0" w:line="240" w:lineRule="auto"/>
        <w:ind w:right="44"/>
        <w:jc w:val="both"/>
        <w:rPr>
          <w:rFonts w:asciiTheme="minorHAnsi" w:eastAsia="Times New Roman" w:hAnsiTheme="minorHAnsi" w:cstheme="minorHAnsi"/>
          <w:color w:val="000000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color w:val="000000"/>
          <w:sz w:val="18"/>
          <w:szCs w:val="18"/>
          <w:lang w:eastAsia="es-ES"/>
        </w:rPr>
        <w:t>que el proyecto presentado:</w:t>
      </w:r>
    </w:p>
    <w:p w14:paraId="1C5B32FF" w14:textId="77777777" w:rsidR="00D55663" w:rsidRPr="001D3ADF" w:rsidRDefault="00D55663" w:rsidP="00D55663">
      <w:pPr>
        <w:spacing w:after="0" w:line="240" w:lineRule="auto"/>
        <w:ind w:right="44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71C025CB" w14:textId="69038E5F" w:rsidR="00D55663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1170599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663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5566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0C16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D5566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Prevé la realización de un nuevo edificio, una </w:t>
      </w:r>
      <w:r w:rsidR="00D55663" w:rsidRPr="001D3ADF">
        <w:rPr>
          <w:rFonts w:asciiTheme="minorHAnsi" w:hAnsiTheme="minorHAnsi" w:cstheme="minorHAnsi"/>
          <w:bCs/>
          <w:sz w:val="18"/>
          <w:szCs w:val="18"/>
        </w:rPr>
        <w:t>rehabilitación integral</w:t>
      </w:r>
      <w:r w:rsidR="00D55663" w:rsidRPr="001D3ADF">
        <w:rPr>
          <w:rStyle w:val="Refdenotaalpie"/>
          <w:rFonts w:asciiTheme="minorHAnsi" w:hAnsiTheme="minorHAnsi" w:cstheme="minorHAnsi"/>
          <w:b/>
          <w:bCs/>
          <w:sz w:val="18"/>
          <w:szCs w:val="18"/>
        </w:rPr>
        <w:footnoteReference w:id="1"/>
      </w:r>
      <w:r w:rsidR="00D55663" w:rsidRPr="001D3ADF">
        <w:rPr>
          <w:rFonts w:asciiTheme="minorHAnsi" w:hAnsiTheme="minorHAnsi" w:cstheme="minorHAnsi"/>
          <w:bCs/>
          <w:sz w:val="18"/>
          <w:szCs w:val="18"/>
        </w:rPr>
        <w:t xml:space="preserve"> de un edificio existente o una reforma total</w:t>
      </w:r>
      <w:r w:rsidR="00D55663" w:rsidRPr="001D3ADF">
        <w:rPr>
          <w:rStyle w:val="Refdenotaalpie"/>
          <w:rFonts w:asciiTheme="minorHAnsi" w:hAnsiTheme="minorHAnsi" w:cstheme="minorHAnsi"/>
          <w:b/>
          <w:bCs/>
          <w:sz w:val="18"/>
          <w:szCs w:val="18"/>
        </w:rPr>
        <w:footnoteReference w:id="2"/>
      </w:r>
      <w:r w:rsidR="00D55663" w:rsidRPr="001D3ADF">
        <w:rPr>
          <w:rFonts w:asciiTheme="minorHAnsi" w:hAnsiTheme="minorHAnsi" w:cstheme="minorHAnsi"/>
          <w:bCs/>
          <w:sz w:val="18"/>
          <w:szCs w:val="18"/>
        </w:rPr>
        <w:t xml:space="preserve"> de un edificio existente.</w:t>
      </w:r>
    </w:p>
    <w:p w14:paraId="587A07EB" w14:textId="370C2C12" w:rsidR="00D32679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143635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679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0C16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Prevé la realización de infraestructuras basadas en la naturaleza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(techos, paredes, espacios verdes y los sistemas de desagüe)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</w:p>
    <w:p w14:paraId="38A9CDA7" w14:textId="13DA8A08" w:rsidR="00D32679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-821425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679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Prevé la realización de infraestructuras de redes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(infraestructuras energéticas como redes, tuberías, centrales eléctricas, etc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/ de transporte como carreteras, puertos, vías navegables, etc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/ de tecnologías de la información y la comunicación como telefonía, cables de datos, centros de datos, etc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. 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/ de agua como tuberías de suministro de agua, embalses, instalaciones de tratamiento de aguas residuales, etc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)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</w:p>
    <w:p w14:paraId="677E1E62" w14:textId="336F168F" w:rsidR="00D32679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-808018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679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Prevé la realización de 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infraestructura “verde” y formas mixtas de “infraestructuras grises y verdes” (redes planificadas de zonas naturales y seminaturales con otras características 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medio</w:t>
      </w:r>
      <w:r w:rsidR="0083617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ambientales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, diseñadas y gestionadas para proporcionar una amplia gama de servicios </w:t>
      </w:r>
      <w:r w:rsidR="004312BE" w:rsidRPr="00751F6B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ecosistémicos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).</w:t>
      </w:r>
    </w:p>
    <w:p w14:paraId="643DBCDA" w14:textId="12530C5C" w:rsidR="00D32679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273298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679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0C16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Prevé la realización de 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sistemas de gestión de residuos.</w:t>
      </w:r>
    </w:p>
    <w:p w14:paraId="33CC3BE1" w14:textId="47689619" w:rsidR="00D32679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1041786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679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3267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 Prevé la realización de 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otros tipos de infraestructura que impliquen activos físicos en una variedad más amplia de políticas, como: comunicaciones, servicios de urgencia, energía, finanzas, alimentación, Administraciones Públicas, sanidad, educación y formación, investigación, protección civil, transporte y residuos o agua.</w:t>
      </w:r>
    </w:p>
    <w:p w14:paraId="300A5EFE" w14:textId="170DDFA5" w:rsidR="00D55663" w:rsidRPr="001D3ADF" w:rsidRDefault="00F15841" w:rsidP="00D55663">
      <w:pPr>
        <w:spacing w:after="0" w:line="240" w:lineRule="auto"/>
        <w:ind w:left="851" w:right="4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sdt>
        <w:sdtPr>
          <w:rPr>
            <w:rFonts w:asciiTheme="minorHAnsi" w:eastAsia="Times New Roman" w:hAnsiTheme="minorHAnsi" w:cstheme="minorHAnsi"/>
            <w:sz w:val="18"/>
            <w:szCs w:val="18"/>
            <w:lang w:eastAsia="es-ES"/>
          </w:rPr>
          <w:id w:val="-119306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663" w:rsidRPr="001D3ADF">
            <w:rPr>
              <w:rFonts w:ascii="Segoe UI Symbol" w:eastAsia="MS Gothic" w:hAnsi="Segoe UI Symbol" w:cs="Segoe UI Symbol"/>
              <w:sz w:val="18"/>
              <w:szCs w:val="18"/>
              <w:lang w:eastAsia="es-ES"/>
            </w:rPr>
            <w:t>☐</w:t>
          </w:r>
        </w:sdtContent>
      </w:sdt>
      <w:r w:rsidR="00D55663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0C16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D55663" w:rsidRPr="001D3ADF">
        <w:rPr>
          <w:rFonts w:asciiTheme="minorHAnsi" w:eastAsia="Times New Roman" w:hAnsiTheme="minorHAnsi" w:cstheme="minorHAnsi"/>
          <w:b/>
          <w:bCs/>
          <w:sz w:val="18"/>
          <w:szCs w:val="18"/>
          <w:lang w:eastAsia="es-ES"/>
        </w:rPr>
        <w:t>NO</w:t>
      </w:r>
      <w:r w:rsidR="004312B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prevé la realización de una infraestructura cuya vida útil sea como mínimo de 5 años.</w:t>
      </w:r>
    </w:p>
    <w:p w14:paraId="18EAF7D7" w14:textId="77777777" w:rsidR="00D55663" w:rsidRPr="001D3ADF" w:rsidRDefault="00D55663" w:rsidP="00D55663">
      <w:pPr>
        <w:spacing w:after="0" w:line="240" w:lineRule="auto"/>
        <w:rPr>
          <w:rFonts w:asciiTheme="minorHAnsi" w:eastAsia="Times New Roman" w:hAnsiTheme="minorHAnsi" w:cstheme="minorHAnsi"/>
          <w:color w:val="FF0000"/>
          <w:sz w:val="18"/>
          <w:szCs w:val="18"/>
          <w:lang w:eastAsia="es-ES"/>
        </w:rPr>
      </w:pPr>
    </w:p>
    <w:p w14:paraId="24D9FF1D" w14:textId="77777777" w:rsidR="0052501E" w:rsidRPr="001D3ADF" w:rsidRDefault="0052501E" w:rsidP="00D55663">
      <w:pPr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0932A41D" w14:textId="0952023C" w:rsidR="00D55663" w:rsidRPr="001D3ADF" w:rsidRDefault="005654BA" w:rsidP="00D55663">
      <w:pPr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Para mayor aclaración, las tipologías de proyecto </w:t>
      </w:r>
      <w:r w:rsidR="00244B64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enumeradas 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en la parte superior responden a lo especificado en los documentos </w:t>
      </w:r>
      <w:hyperlink r:id="rId10" w:history="1">
        <w:r w:rsidRPr="001D3ADF">
          <w:rPr>
            <w:rStyle w:val="Hipervnculo"/>
            <w:rFonts w:asciiTheme="minorHAnsi" w:eastAsia="Times New Roman" w:hAnsiTheme="minorHAnsi" w:cstheme="minorHAnsi"/>
            <w:i/>
            <w:color w:val="auto"/>
            <w:sz w:val="18"/>
            <w:szCs w:val="18"/>
            <w:lang w:eastAsia="es-ES"/>
          </w:rPr>
          <w:t>Orientaciones técnicas sobre la defensa contra el cambio climático de las infraestructuras para el período 2021-2027 (2021/C 373/01)</w:t>
        </w:r>
      </w:hyperlink>
      <w:r w:rsidRPr="001D3ADF">
        <w:rPr>
          <w:rStyle w:val="Hipervnculo"/>
          <w:rFonts w:asciiTheme="minorHAnsi" w:eastAsia="Times New Roman" w:hAnsiTheme="minorHAnsi" w:cstheme="minorHAnsi"/>
          <w:color w:val="auto"/>
          <w:sz w:val="18"/>
          <w:szCs w:val="18"/>
          <w:u w:val="none"/>
          <w:lang w:eastAsia="es-ES"/>
        </w:rPr>
        <w:t xml:space="preserve"> 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y la </w:t>
      </w:r>
      <w:hyperlink r:id="rId11" w:history="1">
        <w:r w:rsidRPr="001D3ADF">
          <w:rPr>
            <w:rStyle w:val="Hipervnculo"/>
            <w:rFonts w:asciiTheme="minorHAnsi" w:eastAsia="Times New Roman" w:hAnsiTheme="minorHAnsi" w:cstheme="minorHAnsi"/>
            <w:i/>
            <w:color w:val="auto"/>
            <w:sz w:val="18"/>
            <w:szCs w:val="18"/>
            <w:lang w:eastAsia="es-ES"/>
          </w:rPr>
          <w:t>Nota Metodológica: principios para la protección frente al cambio climático de los proyectos de infraestructura en España para el período 2021-2027 (Jaspers – DG Fondos Europeos)</w:t>
        </w:r>
      </w:hyperlink>
      <w:r w:rsidRPr="001D3ADF">
        <w:rPr>
          <w:rStyle w:val="Hipervnculo"/>
          <w:rFonts w:asciiTheme="minorHAnsi" w:hAnsiTheme="minorHAnsi" w:cstheme="minorHAnsi"/>
          <w:color w:val="auto"/>
          <w:u w:val="none"/>
        </w:rPr>
        <w:t xml:space="preserve">. </w:t>
      </w:r>
      <w:r w:rsidR="00244B64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En este último documento se amplía la descripción del alcance de algunas de esta</w:t>
      </w:r>
      <w:r w:rsidR="0052501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</w:t>
      </w:r>
      <w:r w:rsidR="00244B64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tipologías (ver también el Anexo</w:t>
      </w:r>
      <w:r w:rsidR="0052501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de est</w:t>
      </w:r>
      <w:r w:rsidR="00BB24FC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e modelo de</w:t>
      </w:r>
      <w:r w:rsidR="0052501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Declaración)</w:t>
      </w:r>
      <w:r w:rsidR="00244B64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</w:p>
    <w:p w14:paraId="47848BE0" w14:textId="77777777" w:rsidR="0064353E" w:rsidRPr="001D3ADF" w:rsidRDefault="0064353E" w:rsidP="000C16BE">
      <w:pPr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color w:val="FF0000"/>
          <w:sz w:val="18"/>
          <w:szCs w:val="18"/>
          <w:lang w:eastAsia="es-ES"/>
        </w:rPr>
      </w:pPr>
    </w:p>
    <w:p w14:paraId="42F6E02C" w14:textId="715DCB80" w:rsidR="0064353E" w:rsidRPr="001D3ADF" w:rsidRDefault="0064353E" w:rsidP="000C16BE">
      <w:pPr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  <w:t>Nota:</w:t>
      </w:r>
    </w:p>
    <w:p w14:paraId="0A497597" w14:textId="44B2612B" w:rsidR="000C16BE" w:rsidRPr="001D3ADF" w:rsidRDefault="000C16BE" w:rsidP="000C16BE">
      <w:pPr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En los casos en que el proyecto presentado prevea la realización de cualquier infraestructura cuya vida útil sea como mínimo de 5 años, y </w:t>
      </w:r>
      <w:r w:rsidR="0064353E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siendo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Pr="001D3ADF">
        <w:rPr>
          <w:rFonts w:asciiTheme="minorHAnsi" w:eastAsia="Times New Roman" w:hAnsiTheme="minorHAnsi" w:cstheme="minorHAnsi"/>
          <w:b/>
          <w:sz w:val="18"/>
          <w:szCs w:val="18"/>
          <w:lang w:eastAsia="es-ES"/>
        </w:rPr>
        <w:t>proyectos de cuantía inferior a 10 millones de euros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de inversión, el solicitante contará con la herramienta de apoyo </w:t>
      </w:r>
      <w:proofErr w:type="spellStart"/>
      <w:r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Climate</w:t>
      </w:r>
      <w:proofErr w:type="spellEnd"/>
      <w:r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 xml:space="preserve"> </w:t>
      </w:r>
      <w:proofErr w:type="spellStart"/>
      <w:r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Proofing_Mitigación</w:t>
      </w:r>
      <w:proofErr w:type="spellEnd"/>
      <w:r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 xml:space="preserve"> y Adaptación</w:t>
      </w:r>
      <w:r w:rsidR="00D10BB5"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_v3.0</w:t>
      </w:r>
      <w:r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 xml:space="preserve"> 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disponible en la página web de 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la Agencia </w:t>
      </w:r>
      <w:proofErr w:type="spellStart"/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Sekuens</w:t>
      </w:r>
      <w:proofErr w:type="spellEnd"/>
      <w:r w:rsidR="00B63CDA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para la realización del análisis de la protección frente al cambio climático. Esta herramienta permite llevar a cabo la fase 1 o de comprobación previa de la parte de Mitigación del cambio climático (neutralidad climática), y las fases 1 y 2 (análisis detallado) de la parte de Adaptación al cambio climático (resiliencia </w:t>
      </w:r>
      <w:r w:rsidR="00B63CDA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lastRenderedPageBreak/>
        <w:t>frente al cambio climático). El solicitante presentar</w:t>
      </w:r>
      <w:r w:rsidR="00087D3D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á</w:t>
      </w:r>
      <w:r w:rsidR="005E1C08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,</w:t>
      </w:r>
      <w:r w:rsidR="00B63CDA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  <w:r w:rsidR="005E1C08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dentro del plazo de aceptación de la ayuda, </w:t>
      </w:r>
      <w:r w:rsidR="00B63CDA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su informe de cumplimiento de protección frente al cambio climático que deberá recoger las conclusiones del análisis realizado con esta herramienta o cualquiera análoga, seleccionando, si procede, la o las medidas de adaptación necesarias (la herramienta propone medidas de adaptación conforme al análisis de riesgos que realiza, pudiendo el solicitante seleccionar todas o varias de ellas, según el caso, o incluso adoptar otras diferentes si lo estima</w:t>
      </w:r>
      <w:r w:rsidR="00267E75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se</w:t>
      </w:r>
      <w:r w:rsidR="00B63CDA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conveniente conforme a la naturaleza de su infraestructura y su localización concreta).</w:t>
      </w:r>
    </w:p>
    <w:p w14:paraId="5065AB91" w14:textId="77777777" w:rsidR="00087D3D" w:rsidRPr="001D3ADF" w:rsidRDefault="00087D3D" w:rsidP="000C16BE">
      <w:pPr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048BFF0D" w14:textId="2852BE89" w:rsidR="00E60D59" w:rsidRPr="001D3ADF" w:rsidRDefault="0064353E" w:rsidP="00087D3D">
      <w:pPr>
        <w:jc w:val="both"/>
        <w:rPr>
          <w:rFonts w:asciiTheme="minorHAnsi" w:hAnsiTheme="minorHAnsi" w:cstheme="minorHAnsi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En el caso de </w:t>
      </w:r>
      <w:r w:rsidRPr="001D3ADF">
        <w:rPr>
          <w:rFonts w:asciiTheme="minorHAnsi" w:eastAsia="Times New Roman" w:hAnsiTheme="minorHAnsi" w:cstheme="minorHAnsi"/>
          <w:b/>
          <w:sz w:val="18"/>
          <w:szCs w:val="18"/>
          <w:lang w:eastAsia="es-ES"/>
        </w:rPr>
        <w:t>proyectos de cuantía igual o superior a 10 millones de euros</w:t>
      </w:r>
      <w:r w:rsidR="00087D3D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de inversión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, el solicitante deberá documentar</w:t>
      </w:r>
      <w:r w:rsidR="005E1C08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, dentro del plazo de aceptación de la ayuda,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la protección frente al cambio climático de acuerdo con las </w:t>
      </w:r>
      <w:hyperlink r:id="rId12" w:history="1">
        <w:r w:rsidRPr="001D3ADF">
          <w:rPr>
            <w:rStyle w:val="Hipervnculo"/>
            <w:rFonts w:asciiTheme="minorHAnsi" w:eastAsia="Times New Roman" w:hAnsiTheme="minorHAnsi" w:cstheme="minorHAnsi"/>
            <w:i/>
            <w:color w:val="auto"/>
            <w:sz w:val="18"/>
            <w:szCs w:val="18"/>
            <w:lang w:eastAsia="es-ES"/>
          </w:rPr>
          <w:t>Orientaciones técnicas sobre la defensa contra el cambio climático de las infraestructuras para el período 2021-2027 (2021/C 373/01)</w:t>
        </w:r>
      </w:hyperlink>
      <w:r w:rsidR="00E60D59" w:rsidRPr="001D3ADF">
        <w:rPr>
          <w:rStyle w:val="Hipervnculo"/>
          <w:rFonts w:asciiTheme="minorHAnsi" w:eastAsia="Times New Roman" w:hAnsiTheme="minorHAnsi" w:cstheme="minorHAnsi"/>
          <w:color w:val="auto"/>
          <w:sz w:val="18"/>
          <w:szCs w:val="18"/>
          <w:u w:val="none"/>
          <w:lang w:eastAsia="es-ES"/>
        </w:rPr>
        <w:t xml:space="preserve"> </w:t>
      </w:r>
      <w:r w:rsidR="00E60D59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y la </w:t>
      </w:r>
      <w:hyperlink r:id="rId13" w:history="1">
        <w:r w:rsidR="00E60D59" w:rsidRPr="001D3ADF">
          <w:rPr>
            <w:rStyle w:val="Hipervnculo"/>
            <w:rFonts w:asciiTheme="minorHAnsi" w:eastAsia="Times New Roman" w:hAnsiTheme="minorHAnsi" w:cstheme="minorHAnsi"/>
            <w:i/>
            <w:color w:val="auto"/>
            <w:sz w:val="18"/>
            <w:szCs w:val="18"/>
            <w:lang w:eastAsia="es-ES"/>
          </w:rPr>
          <w:t>Nota Metodológica: principios para la protección frente al cambio climático de los proyectos de infraestructura en España para el período 2021-2027 (Jaspers – DG Fondos Europeos)</w:t>
        </w:r>
      </w:hyperlink>
      <w:r w:rsidR="00E60D59" w:rsidRPr="001D3ADF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.</w:t>
      </w:r>
    </w:p>
    <w:p w14:paraId="535E096E" w14:textId="7AE86B0A" w:rsidR="000C16BE" w:rsidRPr="001D3ADF" w:rsidRDefault="00E60D59" w:rsidP="00087D3D">
      <w:pPr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color w:val="FF0000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color w:val="FF0000"/>
          <w:sz w:val="18"/>
          <w:szCs w:val="18"/>
          <w:lang w:eastAsia="es-ES"/>
        </w:rPr>
        <w:t xml:space="preserve"> </w:t>
      </w:r>
    </w:p>
    <w:p w14:paraId="42558C04" w14:textId="77777777" w:rsidR="0064353E" w:rsidRPr="001D3ADF" w:rsidRDefault="0064353E" w:rsidP="00087D3D">
      <w:pPr>
        <w:spacing w:after="0" w:line="240" w:lineRule="auto"/>
        <w:ind w:left="426" w:righ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66E93F08" w14:textId="77777777" w:rsidR="0064353E" w:rsidRPr="001D3ADF" w:rsidRDefault="0064353E" w:rsidP="00087D3D">
      <w:pPr>
        <w:spacing w:after="0" w:line="240" w:lineRule="auto"/>
        <w:ind w:left="426" w:righ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6C1850D7" w14:textId="77777777" w:rsidR="0031772F" w:rsidRPr="001D3ADF" w:rsidRDefault="0031772F" w:rsidP="007F3D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3114F857" w14:textId="77777777" w:rsidR="00D55663" w:rsidRPr="001D3ADF" w:rsidRDefault="00D55663" w:rsidP="007F3D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F2BD7ED" w14:textId="77777777" w:rsidR="00D55663" w:rsidRPr="001D3ADF" w:rsidRDefault="00D55663" w:rsidP="007F3D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8922E0E" w14:textId="77777777" w:rsidR="00D55663" w:rsidRPr="001D3ADF" w:rsidRDefault="00D55663" w:rsidP="007F3DD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9240324" w14:textId="77777777" w:rsidR="001D3ADF" w:rsidRPr="001D3ADF" w:rsidRDefault="001D3ADF" w:rsidP="001D3ADF">
      <w:pPr>
        <w:spacing w:after="160" w:line="259" w:lineRule="auto"/>
        <w:contextualSpacing/>
        <w:jc w:val="center"/>
        <w:rPr>
          <w:rFonts w:asciiTheme="minorHAnsi" w:eastAsiaTheme="minorHAnsi" w:hAnsiTheme="minorHAnsi" w:cstheme="minorHAnsi"/>
          <w:vertAlign w:val="superscript"/>
        </w:rPr>
      </w:pPr>
      <w:r w:rsidRPr="001D3ADF">
        <w:rPr>
          <w:rFonts w:asciiTheme="minorHAnsi" w:eastAsiaTheme="minorHAnsi" w:hAnsiTheme="minorHAnsi" w:cstheme="minorHAnsi"/>
        </w:rPr>
        <w:t xml:space="preserve">Firma electrónica de la persona representante legal </w:t>
      </w:r>
      <w:r w:rsidRPr="001D3ADF">
        <w:rPr>
          <w:rFonts w:asciiTheme="minorHAnsi" w:eastAsiaTheme="minorHAnsi" w:hAnsiTheme="minorHAnsi" w:cstheme="minorHAnsi"/>
          <w:vertAlign w:val="superscript"/>
        </w:rPr>
        <w:t>(1)</w:t>
      </w:r>
    </w:p>
    <w:p w14:paraId="4551CC6B" w14:textId="77777777" w:rsidR="00D55663" w:rsidRPr="001D3ADF" w:rsidRDefault="00D5566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C6CA398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ECCE039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4C2DB07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25959D0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8D731DE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2A0D90E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FB3CBE6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FA1F9EB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3FD6B2A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C04E5FA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2F778BD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ADFF175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C3EE6A7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42363A5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CB275A6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55850CC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82086BD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2DDD866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3C3B5CB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6220696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2637A2B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D5276A5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CF77AC0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D2CFB7B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1B86E75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B725100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B9A4650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88858AF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1BF0173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98B99B4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B946229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6869B95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3F9E8C88" w14:textId="77777777" w:rsidR="001D3ADF" w:rsidRPr="001D3ADF" w:rsidRDefault="001D3AD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0820929" w14:textId="77777777" w:rsidR="001D3ADF" w:rsidRPr="001D3ADF" w:rsidRDefault="001D3ADF" w:rsidP="001D3AD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1D3ADF">
        <w:rPr>
          <w:rFonts w:asciiTheme="minorHAnsi" w:eastAsiaTheme="minorHAnsi" w:hAnsiTheme="minorHAnsi" w:cstheme="minorHAnsi"/>
          <w:color w:val="000000"/>
          <w:sz w:val="24"/>
          <w:szCs w:val="24"/>
        </w:rPr>
        <w:t>__________________________________</w:t>
      </w:r>
    </w:p>
    <w:p w14:paraId="57A635DF" w14:textId="77777777" w:rsidR="001D3ADF" w:rsidRPr="001D3ADF" w:rsidRDefault="001D3ADF" w:rsidP="001D3ADF">
      <w:pPr>
        <w:spacing w:after="160" w:line="259" w:lineRule="auto"/>
        <w:rPr>
          <w:rFonts w:asciiTheme="minorHAnsi" w:hAnsiTheme="minorHAnsi" w:cstheme="minorHAnsi"/>
          <w:color w:val="000000"/>
        </w:rPr>
      </w:pPr>
      <w:r w:rsidRPr="001D3ADF">
        <w:rPr>
          <w:rFonts w:asciiTheme="minorHAnsi" w:eastAsiaTheme="minorHAnsi" w:hAnsiTheme="minorHAnsi" w:cstheme="minorHAnsi"/>
          <w:color w:val="000000"/>
          <w:sz w:val="14"/>
          <w:szCs w:val="14"/>
        </w:rPr>
        <w:t xml:space="preserve">(1) </w:t>
      </w:r>
      <w:r w:rsidRPr="001D3ADF">
        <w:rPr>
          <w:rFonts w:asciiTheme="minorHAnsi" w:eastAsiaTheme="minorHAnsi" w:hAnsiTheme="minorHAnsi" w:cstheme="minorHAnsi"/>
          <w:i/>
          <w:iCs/>
          <w:color w:val="000000"/>
          <w:sz w:val="14"/>
          <w:szCs w:val="14"/>
        </w:rPr>
        <w:t>En el caso de representación mancomunada el formulario deberá venir firmado electrónicamente, mediante firma electrónica reconocida, por todos los representantes legales correspondientes.</w:t>
      </w:r>
    </w:p>
    <w:p w14:paraId="58109298" w14:textId="4678762D" w:rsidR="00244B64" w:rsidRPr="001D3ADF" w:rsidRDefault="00244B64" w:rsidP="00244B6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1D3ADF">
        <w:rPr>
          <w:rFonts w:asciiTheme="minorHAnsi" w:hAnsiTheme="minorHAnsi" w:cstheme="minorHAnsi"/>
          <w:b/>
          <w:sz w:val="18"/>
          <w:szCs w:val="18"/>
        </w:rPr>
        <w:lastRenderedPageBreak/>
        <w:t>ANEXO</w:t>
      </w:r>
    </w:p>
    <w:p w14:paraId="72119A2D" w14:textId="77777777" w:rsidR="001D3ADF" w:rsidRPr="001D3ADF" w:rsidRDefault="001D3ADF" w:rsidP="00244B6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B10172F" w14:textId="52D4361F" w:rsidR="009851A7" w:rsidRPr="001D3ADF" w:rsidRDefault="009851A7" w:rsidP="00244B6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1D3ADF">
        <w:rPr>
          <w:rFonts w:asciiTheme="minorHAnsi" w:hAnsiTheme="minorHAnsi" w:cstheme="minorHAnsi"/>
          <w:b/>
          <w:sz w:val="18"/>
          <w:szCs w:val="18"/>
        </w:rPr>
        <w:t>Concepto de infraestructura: soluciones basadas en la naturaleza e infraestructura “verde”</w:t>
      </w:r>
    </w:p>
    <w:p w14:paraId="12F4CA9F" w14:textId="77777777" w:rsidR="00244B64" w:rsidRPr="001D3ADF" w:rsidRDefault="00244B64" w:rsidP="00244B6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</w:p>
    <w:p w14:paraId="540DE2F1" w14:textId="0F3AAD13" w:rsidR="00244B64" w:rsidRPr="001D3ADF" w:rsidRDefault="00244B64" w:rsidP="00244B64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  <w:t>Soluciones basadas en la naturaleza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: según la definición de la Comisión Europea, las soluciones basadas en la naturaleza son aquellas soluciones inspiradas y respaldadas por la naturaleza, que son rentables, proporcionan simultáneamente beneficios ambientales, sociales y económicos, y ayudan a crear resiliencia. Dichas soluciones aportan más naturaleza y más características y procesos naturales, y con mayor diversidad, a las ciudades y paisajes terrestres y marinos, mediante intervenciones localmente adaptadas, eficientes en el uso de recursos y sistémicas.</w:t>
      </w:r>
      <w:r w:rsidR="006A3B94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</w:t>
      </w:r>
    </w:p>
    <w:p w14:paraId="35B1E301" w14:textId="77777777" w:rsidR="006A3B94" w:rsidRPr="001D3ADF" w:rsidRDefault="006A3B94" w:rsidP="006A3B9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515D9C1C" w14:textId="63873601" w:rsidR="006A3B94" w:rsidRPr="001D3ADF" w:rsidRDefault="006A3B94" w:rsidP="006A3B9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Suelen incluir la silvicultura cercana a la naturaleza, la </w:t>
      </w:r>
      <w:r w:rsidRPr="00751F6B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ecologización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(peri)urbana y la protección del suelo, la protección de las zonas costeras, la restauración de humedales, la restauración de ríos y llanuras inundables, la </w:t>
      </w:r>
      <w:proofErr w:type="gramStart"/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agro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-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silvicultura</w:t>
      </w:r>
      <w:proofErr w:type="gramEnd"/>
      <w:r w:rsidR="009851A7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, etc.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Por lo tanto, las soluciones basadas en la naturaleza puede</w:t>
      </w:r>
      <w:r w:rsid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n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prestar servicios como el control de la erosión, la prevención de sequías e inundaciones, el secuestro de carbono, la refrigeración y la prevención de incendios forestales.</w:t>
      </w:r>
    </w:p>
    <w:p w14:paraId="485E38C0" w14:textId="77777777" w:rsidR="001B16C6" w:rsidRPr="001D3ADF" w:rsidRDefault="001B16C6" w:rsidP="006A3B9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19FC0A86" w14:textId="6C06F34A" w:rsidR="001B16C6" w:rsidRPr="001D3ADF" w:rsidRDefault="001B16C6" w:rsidP="001B16C6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  <w:t xml:space="preserve">Infraestructura </w:t>
      </w:r>
      <w:r w:rsidR="009851A7" w:rsidRPr="001D3ADF"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  <w:t>“</w:t>
      </w:r>
      <w:r w:rsidRPr="001D3ADF"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  <w:t>verde</w:t>
      </w:r>
      <w:r w:rsidR="009851A7" w:rsidRPr="001D3ADF">
        <w:rPr>
          <w:rFonts w:asciiTheme="minorHAnsi" w:eastAsia="Times New Roman" w:hAnsiTheme="minorHAnsi" w:cstheme="minorHAnsi"/>
          <w:sz w:val="18"/>
          <w:szCs w:val="18"/>
          <w:u w:val="single"/>
          <w:lang w:eastAsia="es-ES"/>
        </w:rPr>
        <w:t>”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: la infraestructura verde es una red de zonas naturales y seminaturales y de otros elementos ambientales, planificada de forma estratégica, diseñada y gestionada para la prestación de una extensa gama de servicios </w:t>
      </w:r>
      <w:r w:rsidRPr="00751F6B">
        <w:rPr>
          <w:rFonts w:asciiTheme="minorHAnsi" w:eastAsia="Times New Roman" w:hAnsiTheme="minorHAnsi" w:cstheme="minorHAnsi"/>
          <w:i/>
          <w:sz w:val="18"/>
          <w:szCs w:val="18"/>
          <w:lang w:eastAsia="es-ES"/>
        </w:rPr>
        <w:t>ecosistémicos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. Incorpora espacios verdes (o azules en el caso de los ecosistemas acuáticos) y otros elementos físicos de espacios terrestres (incluidas las zonas costeras) y marinos. En los espacios terrestres, la infraestructura verde está presente en los entornos rurales y urbanos.</w:t>
      </w:r>
    </w:p>
    <w:p w14:paraId="61B3F57D" w14:textId="77777777" w:rsidR="001B16C6" w:rsidRPr="001D3ADF" w:rsidRDefault="001B16C6" w:rsidP="001B16C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5B9DA291" w14:textId="5E5DEFB6" w:rsidR="001B16C6" w:rsidRPr="001D3ADF" w:rsidRDefault="001B16C6" w:rsidP="001B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Tales servicios comprenden, entre otros, la purificación del agua, la mejora de la calidad del aire, la provisión de espacios recreativos, así como la ayuda a la adaptación al cambio climático y la mitigación de sus efectos. Esta red de espacios verdes (terrestres) y azules (acuáticos) mejora la calidad del medio ambiente, el estado y la conectividad de los espacios naturales, así como la salud y la calidad de vida de los ciudadanos. En la UE, la red Natura 2000 de zonas protegidas constituye la espina dorsal de la infraestructura verde.</w:t>
      </w:r>
    </w:p>
    <w:p w14:paraId="6D1F6F14" w14:textId="77777777" w:rsidR="001B16C6" w:rsidRPr="001D3ADF" w:rsidRDefault="001B16C6" w:rsidP="001B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42C02F69" w14:textId="0C843295" w:rsidR="001B16C6" w:rsidRDefault="001B16C6" w:rsidP="001B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A </w:t>
      </w:r>
      <w:proofErr w:type="gramStart"/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continuación</w:t>
      </w:r>
      <w:proofErr w:type="gramEnd"/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se ofrecen algunos ejemplos de infraestructura verde y su multifuncionalidad:</w:t>
      </w:r>
    </w:p>
    <w:p w14:paraId="2D053D51" w14:textId="77777777" w:rsidR="00751F6B" w:rsidRPr="001D3ADF" w:rsidRDefault="00751F6B" w:rsidP="001B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0ED4C286" w14:textId="65BC4C0C" w:rsidR="001B16C6" w:rsidRPr="001D3ADF" w:rsidRDefault="001B16C6" w:rsidP="001B16C6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La creación de espacios verdes urbanos bien diseñados (parques, jardines, cubiertas verdes, huertos, etc.) puede contribuir a proteger la biodiversidad, al tiempo que ayuda a luchar contra el cambio climático, refrescar las ciudades, reducir los riesgos de inundación y mejorar la salud y el bienestar de los residentes urbanos. </w:t>
      </w:r>
    </w:p>
    <w:p w14:paraId="4C339035" w14:textId="36689FE8" w:rsidR="001B16C6" w:rsidRPr="001D3ADF" w:rsidRDefault="001B16C6" w:rsidP="001B16C6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El restablecimiento de humedales representa una alternativa adecuada y, a menudo, más barata a la construcción de nuevas plantas de tratamiento de agua, y también puede proporcionar otros beneficios naturales, como aportar espacio para que prosperen las aves migratorias y los polinizadores. </w:t>
      </w:r>
    </w:p>
    <w:p w14:paraId="69F53D1C" w14:textId="71302A4D" w:rsidR="001B16C6" w:rsidRPr="001D3ADF" w:rsidRDefault="001B16C6" w:rsidP="001B16C6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En cuanto a la prevención de inundaciones, el restablecimiento de planicies aluviales también resulta mucho más económico y, con frecuencia, mucho más eficaz que la construcción de nuevos diques más altos.</w:t>
      </w:r>
    </w:p>
    <w:p w14:paraId="61B05CF6" w14:textId="77777777" w:rsidR="009851A7" w:rsidRPr="001D3ADF" w:rsidRDefault="009851A7" w:rsidP="009851A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14:paraId="3CF39A4C" w14:textId="4529B726" w:rsidR="009851A7" w:rsidRPr="009851A7" w:rsidRDefault="009851A7" w:rsidP="009851A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sz w:val="18"/>
          <w:szCs w:val="18"/>
          <w:lang w:eastAsia="es-ES"/>
        </w:rPr>
      </w:pP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Por el contrario, la </w:t>
      </w:r>
      <w:r w:rsidR="002E263B"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>infraestructura</w:t>
      </w:r>
      <w:r w:rsidRPr="001D3ADF">
        <w:rPr>
          <w:rFonts w:asciiTheme="minorHAnsi" w:eastAsia="Times New Roman" w:hAnsiTheme="minorHAnsi" w:cstheme="minorHAnsi"/>
          <w:sz w:val="18"/>
          <w:szCs w:val="18"/>
          <w:lang w:eastAsia="es-ES"/>
        </w:rPr>
        <w:t xml:space="preserve"> “gris” se refiere a los sistemas de ingeniería tradicionales y construcciones artificiales, como carreteras, puentes, redes de agua… diseñados con materiales “duros” (hormigón, acero, asfalto,</w:t>
      </w:r>
      <w:r>
        <w:rPr>
          <w:rFonts w:ascii="Arial" w:eastAsia="Times New Roman" w:hAnsi="Arial" w:cs="Arial"/>
          <w:sz w:val="18"/>
          <w:szCs w:val="18"/>
          <w:lang w:eastAsia="es-ES"/>
        </w:rPr>
        <w:t xml:space="preserve"> </w:t>
      </w:r>
      <w:r w:rsidRP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roca…)</w:t>
      </w:r>
      <w:r w:rsidR="007F7F3E" w:rsidRPr="00751F6B">
        <w:rPr>
          <w:rFonts w:asciiTheme="minorHAnsi" w:eastAsia="Times New Roman" w:hAnsiTheme="minorHAnsi" w:cstheme="minorHAnsi"/>
          <w:sz w:val="18"/>
          <w:szCs w:val="18"/>
          <w:lang w:eastAsia="es-ES"/>
        </w:rPr>
        <w:t>.</w:t>
      </w:r>
    </w:p>
    <w:sectPr w:rsidR="009851A7" w:rsidRPr="009851A7" w:rsidSect="0041208E">
      <w:headerReference w:type="default" r:id="rId14"/>
      <w:footerReference w:type="default" r:id="rId15"/>
      <w:pgSz w:w="11906" w:h="16838"/>
      <w:pgMar w:top="2126" w:right="992" w:bottom="1418" w:left="992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94962" w14:textId="77777777" w:rsidR="00F15841" w:rsidRDefault="00F15841" w:rsidP="008C3772">
      <w:pPr>
        <w:spacing w:after="0" w:line="240" w:lineRule="auto"/>
      </w:pPr>
      <w:r>
        <w:separator/>
      </w:r>
    </w:p>
  </w:endnote>
  <w:endnote w:type="continuationSeparator" w:id="0">
    <w:p w14:paraId="0C6F0997" w14:textId="77777777" w:rsidR="00F15841" w:rsidRDefault="00F15841" w:rsidP="008C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87384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945BE9" w14:textId="0B61821A" w:rsidR="00267E75" w:rsidRDefault="00267E75">
            <w:pPr>
              <w:pStyle w:val="Piedepgin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1F6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1F6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4E2ECC" w14:textId="75DD72D8" w:rsidR="00267E75" w:rsidRDefault="001D3ADF" w:rsidP="001D3ADF">
    <w:pPr>
      <w:pStyle w:val="Piedepgina"/>
      <w:jc w:val="center"/>
    </w:pPr>
    <w:r w:rsidRPr="007B3C74">
      <w:rPr>
        <w:noProof/>
        <w:lang w:eastAsia="es-ES"/>
      </w:rPr>
      <w:drawing>
        <wp:inline distT="0" distB="0" distL="0" distR="0" wp14:anchorId="4B8BC9A5" wp14:editId="3E241378">
          <wp:extent cx="5816600" cy="580604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755" cy="5895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0D02C" w14:textId="77777777" w:rsidR="00F15841" w:rsidRDefault="00F15841" w:rsidP="008C3772">
      <w:pPr>
        <w:spacing w:after="0" w:line="240" w:lineRule="auto"/>
      </w:pPr>
      <w:r>
        <w:separator/>
      </w:r>
    </w:p>
  </w:footnote>
  <w:footnote w:type="continuationSeparator" w:id="0">
    <w:p w14:paraId="36C77239" w14:textId="77777777" w:rsidR="00F15841" w:rsidRDefault="00F15841" w:rsidP="008C3772">
      <w:pPr>
        <w:spacing w:after="0" w:line="240" w:lineRule="auto"/>
      </w:pPr>
      <w:r>
        <w:continuationSeparator/>
      </w:r>
    </w:p>
  </w:footnote>
  <w:footnote w:id="1">
    <w:p w14:paraId="4CAFD8FB" w14:textId="77777777" w:rsidR="00D55663" w:rsidRPr="00EF7B31" w:rsidRDefault="00D55663" w:rsidP="00D55663">
      <w:pPr>
        <w:pStyle w:val="Textonotapie"/>
        <w:jc w:val="both"/>
        <w:rPr>
          <w:sz w:val="18"/>
          <w:szCs w:val="18"/>
        </w:rPr>
      </w:pPr>
      <w:r w:rsidRPr="001D3ADF">
        <w:rPr>
          <w:rStyle w:val="Refdenotaalpie"/>
          <w:b/>
          <w:sz w:val="18"/>
          <w:szCs w:val="18"/>
        </w:rPr>
        <w:footnoteRef/>
      </w:r>
      <w:r w:rsidRPr="00EF7B31">
        <w:rPr>
          <w:sz w:val="18"/>
          <w:szCs w:val="18"/>
        </w:rPr>
        <w:t xml:space="preserve"> Se entiende por </w:t>
      </w:r>
      <w:r w:rsidRPr="00EF7B31">
        <w:rPr>
          <w:i/>
          <w:iCs/>
          <w:sz w:val="18"/>
          <w:szCs w:val="18"/>
        </w:rPr>
        <w:t>Rehabilitación integral</w:t>
      </w:r>
      <w:r w:rsidRPr="00EF7B31">
        <w:rPr>
          <w:sz w:val="18"/>
          <w:szCs w:val="18"/>
        </w:rPr>
        <w:t xml:space="preserve">, cuando las obras de reforma se ajusten a lo estipulado como rehabilitación en el planeamiento o normativa municipal vigente y, en su defecto, cuando la cuantía económica de las obras supere el 75 % de la cantidad que supondría realizar esa misma obra de nueva planta </w:t>
      </w:r>
      <w:proofErr w:type="gramStart"/>
      <w:r w:rsidRPr="00EF7B31">
        <w:rPr>
          <w:sz w:val="18"/>
          <w:szCs w:val="18"/>
        </w:rPr>
        <w:t>y</w:t>
      </w:r>
      <w:proofErr w:type="gramEnd"/>
      <w:r w:rsidRPr="00EF7B31">
        <w:rPr>
          <w:sz w:val="18"/>
          <w:szCs w:val="18"/>
        </w:rPr>
        <w:t xml:space="preserve"> además, sus características constructivas permitan suponer que en uso, función y condiciones de construcción han alcanzado una situación equivalente a su primer estado de vida. El índice de antigüedad de la construcción, en este caso, será el que corresponde a la fecha de rehabilitación.</w:t>
      </w:r>
    </w:p>
    <w:p w14:paraId="1123E177" w14:textId="77777777" w:rsidR="00D55663" w:rsidRPr="00EF7B31" w:rsidRDefault="00D55663" w:rsidP="00D55663">
      <w:pPr>
        <w:pStyle w:val="Textonotapie"/>
        <w:jc w:val="both"/>
        <w:rPr>
          <w:sz w:val="18"/>
          <w:szCs w:val="18"/>
        </w:rPr>
      </w:pPr>
    </w:p>
  </w:footnote>
  <w:footnote w:id="2">
    <w:p w14:paraId="288D4243" w14:textId="77777777" w:rsidR="00D55663" w:rsidRDefault="00D55663" w:rsidP="00D55663">
      <w:pPr>
        <w:pStyle w:val="Textonotapie"/>
        <w:jc w:val="both"/>
      </w:pPr>
      <w:r w:rsidRPr="001D3ADF">
        <w:rPr>
          <w:rStyle w:val="Refdenotaalpie"/>
          <w:b/>
          <w:sz w:val="18"/>
          <w:szCs w:val="18"/>
        </w:rPr>
        <w:footnoteRef/>
      </w:r>
      <w:r w:rsidRPr="001D3ADF">
        <w:rPr>
          <w:b/>
          <w:sz w:val="18"/>
          <w:szCs w:val="18"/>
        </w:rPr>
        <w:t xml:space="preserve"> </w:t>
      </w:r>
      <w:r w:rsidRPr="00EF7B31">
        <w:rPr>
          <w:sz w:val="18"/>
          <w:szCs w:val="18"/>
        </w:rPr>
        <w:t xml:space="preserve">Se entiende por </w:t>
      </w:r>
      <w:r w:rsidRPr="00EF7B31">
        <w:rPr>
          <w:i/>
          <w:iCs/>
          <w:sz w:val="18"/>
          <w:szCs w:val="18"/>
        </w:rPr>
        <w:t>Reforma total</w:t>
      </w:r>
      <w:r w:rsidRPr="00EF7B31">
        <w:rPr>
          <w:sz w:val="18"/>
          <w:szCs w:val="18"/>
        </w:rPr>
        <w:t>, cuando las obras de reforma afecten a elementos fundamentales de la construcción, con un coste superior al 50 % e inferior al 75 % de la cantidad que supondría realizar esa misma obra de nueva planta.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55B5" w14:textId="583A5D66" w:rsidR="004F7544" w:rsidRPr="004F7544" w:rsidRDefault="001D3ADF" w:rsidP="00751F6B">
    <w:pPr>
      <w:overflowPunct w:val="0"/>
      <w:autoSpaceDE w:val="0"/>
      <w:autoSpaceDN w:val="0"/>
      <w:adjustRightInd w:val="0"/>
      <w:spacing w:after="0" w:line="259" w:lineRule="auto"/>
      <w:ind w:left="284" w:right="148"/>
      <w:textAlignment w:val="baseline"/>
      <w:rPr>
        <w:rFonts w:ascii="Times New Roman" w:eastAsia="Times New Roman" w:hAnsi="Times New Roman"/>
        <w:sz w:val="20"/>
        <w:szCs w:val="20"/>
        <w:lang w:val="es-ES_tradnl" w:eastAsia="es-ES"/>
      </w:rPr>
    </w:pPr>
    <w:r w:rsidRPr="007B3C74">
      <w:rPr>
        <w:noProof/>
      </w:rPr>
      <w:drawing>
        <wp:inline distT="0" distB="0" distL="0" distR="0" wp14:anchorId="184F08AE" wp14:editId="26FB2DA1">
          <wp:extent cx="2006600" cy="754073"/>
          <wp:effectExtent l="0" t="0" r="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3794" cy="775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532C8"/>
    <w:multiLevelType w:val="hybridMultilevel"/>
    <w:tmpl w:val="B268B0B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A4778"/>
    <w:multiLevelType w:val="hybridMultilevel"/>
    <w:tmpl w:val="16AABCF0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2E224C3"/>
    <w:multiLevelType w:val="hybridMultilevel"/>
    <w:tmpl w:val="EEB2EAA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C0820"/>
    <w:multiLevelType w:val="hybridMultilevel"/>
    <w:tmpl w:val="E94EFF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C53498"/>
    <w:multiLevelType w:val="hybridMultilevel"/>
    <w:tmpl w:val="E7ECF0A6"/>
    <w:lvl w:ilvl="0" w:tplc="0C0A001B">
      <w:start w:val="1"/>
      <w:numFmt w:val="lowerRoman"/>
      <w:lvlText w:val="%1."/>
      <w:lvlJc w:val="righ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84D7544"/>
    <w:multiLevelType w:val="hybridMultilevel"/>
    <w:tmpl w:val="426449F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661207">
    <w:abstractNumId w:val="3"/>
  </w:num>
  <w:num w:numId="2" w16cid:durableId="946815160">
    <w:abstractNumId w:val="1"/>
  </w:num>
  <w:num w:numId="3" w16cid:durableId="679621501">
    <w:abstractNumId w:val="5"/>
  </w:num>
  <w:num w:numId="4" w16cid:durableId="1933128887">
    <w:abstractNumId w:val="2"/>
  </w:num>
  <w:num w:numId="5" w16cid:durableId="1143044415">
    <w:abstractNumId w:val="0"/>
  </w:num>
  <w:num w:numId="6" w16cid:durableId="393312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FzBrRmRNx20nnS2WHJAaBuJkWM8au/jwZx1U/Z1K+PXpH0cgE41YOq7VzqjEqX+eir1JumkosjU/+qDTEnHmQ==" w:salt="9HWfmlnolh2Y1YbBIrZ5x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783"/>
    <w:rsid w:val="000532DC"/>
    <w:rsid w:val="00087D3D"/>
    <w:rsid w:val="000A0075"/>
    <w:rsid w:val="000A2590"/>
    <w:rsid w:val="000A35AA"/>
    <w:rsid w:val="000A4542"/>
    <w:rsid w:val="000C16BE"/>
    <w:rsid w:val="000E545B"/>
    <w:rsid w:val="001531DF"/>
    <w:rsid w:val="00153208"/>
    <w:rsid w:val="001B16C6"/>
    <w:rsid w:val="001D3ADF"/>
    <w:rsid w:val="001E1026"/>
    <w:rsid w:val="002421FA"/>
    <w:rsid w:val="00244B64"/>
    <w:rsid w:val="00267E75"/>
    <w:rsid w:val="002A39A7"/>
    <w:rsid w:val="002D1D19"/>
    <w:rsid w:val="002E2519"/>
    <w:rsid w:val="002E263B"/>
    <w:rsid w:val="002F6BED"/>
    <w:rsid w:val="0031772F"/>
    <w:rsid w:val="00333BA6"/>
    <w:rsid w:val="003B0460"/>
    <w:rsid w:val="0041208E"/>
    <w:rsid w:val="004312BE"/>
    <w:rsid w:val="00451FCE"/>
    <w:rsid w:val="004C08F5"/>
    <w:rsid w:val="004C3E6E"/>
    <w:rsid w:val="004F7544"/>
    <w:rsid w:val="00523849"/>
    <w:rsid w:val="0052501E"/>
    <w:rsid w:val="005654BA"/>
    <w:rsid w:val="005E1C08"/>
    <w:rsid w:val="00626645"/>
    <w:rsid w:val="00643538"/>
    <w:rsid w:val="0064353E"/>
    <w:rsid w:val="006A3B94"/>
    <w:rsid w:val="006C7A15"/>
    <w:rsid w:val="00751F6B"/>
    <w:rsid w:val="007F3DDA"/>
    <w:rsid w:val="007F7F3E"/>
    <w:rsid w:val="00836173"/>
    <w:rsid w:val="00870757"/>
    <w:rsid w:val="00887E27"/>
    <w:rsid w:val="00893176"/>
    <w:rsid w:val="008B204D"/>
    <w:rsid w:val="008C3772"/>
    <w:rsid w:val="008E177A"/>
    <w:rsid w:val="009146D7"/>
    <w:rsid w:val="009454AE"/>
    <w:rsid w:val="0096034E"/>
    <w:rsid w:val="00960EEE"/>
    <w:rsid w:val="0096175E"/>
    <w:rsid w:val="009851A7"/>
    <w:rsid w:val="009A7704"/>
    <w:rsid w:val="009D28C3"/>
    <w:rsid w:val="009D37CC"/>
    <w:rsid w:val="00A83E97"/>
    <w:rsid w:val="00AA250E"/>
    <w:rsid w:val="00B0244C"/>
    <w:rsid w:val="00B45CE0"/>
    <w:rsid w:val="00B63CDA"/>
    <w:rsid w:val="00B76AC8"/>
    <w:rsid w:val="00BB24FC"/>
    <w:rsid w:val="00BC5021"/>
    <w:rsid w:val="00BE2132"/>
    <w:rsid w:val="00C36DE8"/>
    <w:rsid w:val="00C52313"/>
    <w:rsid w:val="00CE4369"/>
    <w:rsid w:val="00D03E0D"/>
    <w:rsid w:val="00D10BB5"/>
    <w:rsid w:val="00D32679"/>
    <w:rsid w:val="00D55663"/>
    <w:rsid w:val="00DA60CA"/>
    <w:rsid w:val="00DD1601"/>
    <w:rsid w:val="00E00DF4"/>
    <w:rsid w:val="00E07C6F"/>
    <w:rsid w:val="00E35E05"/>
    <w:rsid w:val="00E465F8"/>
    <w:rsid w:val="00E60D59"/>
    <w:rsid w:val="00EE2783"/>
    <w:rsid w:val="00F12F56"/>
    <w:rsid w:val="00F15841"/>
    <w:rsid w:val="00F7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BF0B1"/>
  <w15:chartTrackingRefBased/>
  <w15:docId w15:val="{B5EF21B7-DEC1-4FC2-8913-EE4FAAC9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7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C37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C377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8C37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3772"/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8C37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F7544"/>
    <w:pPr>
      <w:spacing w:after="0" w:line="240" w:lineRule="auto"/>
    </w:pPr>
    <w:rPr>
      <w:rFonts w:eastAsiaTheme="minorEastAsia"/>
      <w:kern w:val="2"/>
      <w:sz w:val="24"/>
      <w:szCs w:val="24"/>
      <w:lang w:eastAsia="es-E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31772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D5566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556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55663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D55663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4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4542"/>
    <w:rPr>
      <w:rFonts w:ascii="Segoe UI" w:eastAsia="Calibr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435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depa.es/agencia_sekuens/sala-de-prensa/archivo-fotografico/-/document_library/7cIOVElPS9eZ/view_file/293695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-lex.europa.eu/legal-content/ES/TXT/PDF/?uri=CELEX:52021XC0916(03)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depa.es/agencia_sekuens/sala-de-prensa/archivo-fotografico/-/document_library/7cIOVElPS9eZ/view_file/2936951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eur-lex.europa.eu/legal-content/ES/TXT/PDF/?uri=CELEX:52021XC0916(03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5e0400d1-f49c-498f-8eab-a66b55fd35a0" xsi:nil="true"/>
    <PROGRAMA xmlns="5e0400d1-f49c-498f-8eab-a66b55fd35a0">PROYECTOS DE INVERSIÓN-PIE</PROGRAMA>
    <VIGENTE xmlns="5e0400d1-f49c-498f-8eab-a66b55fd35a0">false</VIGEN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antilla Formularios Ayudas" ma:contentTypeID="0x010100EBC03DA15D9F974CA5BA99D39F619E2100B8CFE2FD8134124983038B8A93D1A746" ma:contentTypeVersion="12" ma:contentTypeDescription="Plantilla Formularios Ayudas" ma:contentTypeScope="" ma:versionID="1fcd6d60ce208aaa3f09fe4110e380da">
  <xsd:schema xmlns:xsd="http://www.w3.org/2001/XMLSchema" xmlns:xs="http://www.w3.org/2001/XMLSchema" xmlns:p="http://schemas.microsoft.com/office/2006/metadata/properties" xmlns:ns2="5e0400d1-f49c-498f-8eab-a66b55fd35a0" targetNamespace="http://schemas.microsoft.com/office/2006/metadata/properties" ma:root="true" ma:fieldsID="443e094103a1e2d4c071159a4b311b36" ns2:_="">
    <xsd:import namespace="5e0400d1-f49c-498f-8eab-a66b55fd35a0"/>
    <xsd:element name="properties">
      <xsd:complexType>
        <xsd:sequence>
          <xsd:element name="documentManagement">
            <xsd:complexType>
              <xsd:all>
                <xsd:element ref="ns2:PROGRAMA"/>
                <xsd:element ref="ns2:VIGENTE" minOccurs="0"/>
                <xsd:element ref="ns2:ORD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400d1-f49c-498f-8eab-a66b55fd35a0" elementFormDefault="qualified">
    <xsd:import namespace="http://schemas.microsoft.com/office/2006/documentManagement/types"/>
    <xsd:import namespace="http://schemas.microsoft.com/office/infopath/2007/PartnerControls"/>
    <xsd:element name="PROGRAMA" ma:index="5" ma:displayName="PROGRAMA" ma:format="Dropdown" ma:internalName="PROGRAMA" ma:readOnly="false">
      <xsd:simpleType>
        <xsd:restriction base="dms:Choice">
          <xsd:enumeration value="APOYO FINANCIACIÓN INVERSIONES TURISTICAS-AFIT"/>
          <xsd:enumeration value="APOYO FINANCIACIÓN INVERSIONES-AFI"/>
          <xsd:enumeration value="APOYO FINANCIERO PYMES"/>
          <xsd:enumeration value="AYUDAS TRANSFORMACIÓN DIGITAL"/>
          <xsd:enumeration value="CENTROS I+D+i EMPRESARIALES-CID"/>
          <xsd:enumeration value="CHEQUES-CHT"/>
          <xsd:enumeration value="CLUSTERS-CLU"/>
          <xsd:enumeration value="CONSORCIOS DE MISIONES CIENTÍFICAS"/>
          <xsd:enumeration value="CONTRATACIÓN TECNICOS -TECEX"/>
          <xsd:enumeration value="DIFUSIÓN DE I+D+I"/>
          <xsd:enumeration value="DIVERSIFICACIÓN ECONÓMICA DE LOS TERRITORIOS-DIV"/>
          <xsd:enumeration value="ECONOMIA CIRCULAR"/>
          <xsd:enumeration value="EMPRESA BASE TECNOLOGICA -EBT"/>
          <xsd:enumeration value="EMPRESA BASE TECNOLOGICA-EBT"/>
          <xsd:enumeration value="EMPRESA FAMILIAR-EF"/>
          <xsd:enumeration value="ERANET-MAN"/>
          <xsd:enumeration value="ERANET-MER"/>
          <xsd:enumeration value="ERANET-OCE"/>
          <xsd:enumeration value="ESPACIOS INDUSTRIALES"/>
          <xsd:enumeration value="FLAG-ERA"/>
          <xsd:enumeration value="GRUPOS DE INVESTIGACIÓN"/>
          <xsd:enumeration value="HIPERAUTOMATIZACIÓN"/>
          <xsd:enumeration value="INNOEMPRESA-IE"/>
          <xsd:enumeration value="INNOVA IDEPA-INE"/>
          <xsd:enumeration value="INNOVACION ABIERTA"/>
          <xsd:enumeration value="INTERNACIONALIZACIÓN-PI"/>
          <xsd:enumeration value="INTERNACIONALIZACIÓN-PIA"/>
          <xsd:enumeration value="JOVELLANOS"/>
          <xsd:enumeration value="MARGARITA SALAS - POSTDOCTORAL"/>
          <xsd:enumeration value="MOVILIDAD RECURSOS HUMANOS"/>
          <xsd:enumeration value="PROGRAMA ASTURIAS"/>
          <xsd:enumeration value="PROYECTOS  TRACTORES ESPECIAL INTERES (PTEI)"/>
          <xsd:enumeration value="PROYECTOS DE I+D"/>
          <xsd:enumeration value="PROYECTOS DE I+D+i TRACTORES"/>
          <xsd:enumeration value="PROYECTOS DE INVERSIÓN-AIP"/>
          <xsd:enumeration value="PROYECTOS DE INVERSIÓN-PIE"/>
          <xsd:enumeration value="PROYECTOS EN RED"/>
          <xsd:enumeration value="PROYECTOS ESPECIAL INTERES-PEI"/>
          <xsd:enumeration value="REFINANCIACIÓN PASIVOS-REF"/>
          <xsd:enumeration value="RES-AI RESOLUTIONS"/>
          <xsd:enumeration value="SEMILLEROS DE EMPRESA"/>
          <xsd:enumeration value="SUBVENCIONES DIRECTAS-GENERAL"/>
          <xsd:enumeration value="SUELO ASOCIACIONES"/>
          <xsd:enumeration value="SUELO AYUNTAMIENTOS"/>
          <xsd:enumeration value="SUELO-DIRECTAS"/>
          <xsd:enumeration value="TRANSFERENCIA DE CONOCIMIENTO E INTERNACIONALIZACIÓN"/>
          <xsd:enumeration value="VOCACIONES CIENTÍFICAS"/>
        </xsd:restriction>
      </xsd:simpleType>
    </xsd:element>
    <xsd:element name="VIGENTE" ma:index="6" nillable="true" ma:displayName="VIGENTE" ma:default="0" ma:internalName="VIGENTE" ma:readOnly="false">
      <xsd:simpleType>
        <xsd:restriction base="dms:Boolean"/>
      </xsd:simpleType>
    </xsd:element>
    <xsd:element name="ORDEN" ma:index="7" nillable="true" ma:displayName="ORDEN" ma:decimals="0" ma:internalName="ORDEN" ma:readOnly="false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B57A4C-2F58-4E4B-94C0-53AF04C36F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6BAD8-701A-40C5-AA41-CEF7FC0B75B1}">
  <ds:schemaRefs>
    <ds:schemaRef ds:uri="http://schemas.microsoft.com/office/2006/metadata/properties"/>
    <ds:schemaRef ds:uri="http://schemas.microsoft.com/office/infopath/2007/PartnerControls"/>
    <ds:schemaRef ds:uri="5e0400d1-f49c-498f-8eab-a66b55fd35a0"/>
  </ds:schemaRefs>
</ds:datastoreItem>
</file>

<file path=customXml/itemProps3.xml><?xml version="1.0" encoding="utf-8"?>
<ds:datastoreItem xmlns:ds="http://schemas.openxmlformats.org/officeDocument/2006/customXml" ds:itemID="{E8A5D8BD-45C6-4F22-928E-DB0C29384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400d1-f49c-498f-8eab-a66b55fd3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1335</Words>
  <Characters>7344</Characters>
  <Application>Microsoft Office Word</Application>
  <DocSecurity>8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Cabrera Santiago</dc:creator>
  <cp:keywords/>
  <dc:description/>
  <cp:lastModifiedBy>Inés Seijo Martínez</cp:lastModifiedBy>
  <cp:revision>4</cp:revision>
  <cp:lastPrinted>2026-05-05T08:00:00Z</cp:lastPrinted>
  <dcterms:created xsi:type="dcterms:W3CDTF">2026-05-05T12:43:00Z</dcterms:created>
  <dcterms:modified xsi:type="dcterms:W3CDTF">2026-05-22T07:27:00Z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0x010100EBC03DA15D9F974CA5BA99D39F619E2100B8CFE2FD8134124983038B8A93D1A746</vt:lpwstr>
  </property>
</Properties>
</file>